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4A5" w:rsidRPr="00112922" w:rsidRDefault="00D04D3E" w:rsidP="007D34A5">
      <w:pPr>
        <w:spacing w:after="0" w:line="240" w:lineRule="auto"/>
        <w:jc w:val="center"/>
        <w:rPr>
          <w:b/>
          <w:lang w:val="fr-FR"/>
        </w:rPr>
      </w:pPr>
      <w:r>
        <w:rPr>
          <w:b/>
          <w:bCs/>
          <w:lang w:val="fr-FR"/>
        </w:rPr>
        <w:t>B5.4 Prévention et lutte contre l</w:t>
      </w:r>
      <w:r w:rsidR="00112922">
        <w:rPr>
          <w:b/>
          <w:bCs/>
          <w:lang w:val="fr-FR"/>
        </w:rPr>
        <w:t xml:space="preserve">es </w:t>
      </w:r>
      <w:r>
        <w:rPr>
          <w:b/>
          <w:bCs/>
          <w:lang w:val="fr-FR"/>
        </w:rPr>
        <w:t>infection</w:t>
      </w:r>
      <w:r w:rsidR="00112922">
        <w:rPr>
          <w:b/>
          <w:bCs/>
          <w:lang w:val="fr-FR"/>
        </w:rPr>
        <w:t>s</w:t>
      </w:r>
      <w:r>
        <w:rPr>
          <w:b/>
          <w:bCs/>
          <w:lang w:val="fr-FR"/>
        </w:rPr>
        <w:t xml:space="preserve"> - Exercice 1</w:t>
      </w:r>
    </w:p>
    <w:p w:rsidR="007D34A5" w:rsidRPr="00112922" w:rsidRDefault="0093798E" w:rsidP="007D34A5">
      <w:pPr>
        <w:spacing w:after="0" w:line="240" w:lineRule="auto"/>
        <w:jc w:val="center"/>
        <w:rPr>
          <w:b/>
          <w:sz w:val="24"/>
          <w:szCs w:val="24"/>
          <w:lang w:val="fr-FR"/>
        </w:rPr>
      </w:pPr>
    </w:p>
    <w:p w:rsidR="00372AF2" w:rsidRPr="007D34A5" w:rsidRDefault="00D04D3E" w:rsidP="007D34A5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val="fr-FR"/>
        </w:rPr>
        <w:t>Version du facilitateur</w:t>
      </w:r>
    </w:p>
    <w:tbl>
      <w:tblPr>
        <w:tblStyle w:val="TableGrid"/>
        <w:tblpPr w:leftFromText="180" w:rightFromText="180" w:vertAnchor="page" w:horzAnchor="margin" w:tblpY="2731"/>
        <w:tblW w:w="0" w:type="auto"/>
        <w:tblLayout w:type="fixed"/>
        <w:tblLook w:val="04A0" w:firstRow="1" w:lastRow="0" w:firstColumn="1" w:lastColumn="0" w:noHBand="0" w:noVBand="1"/>
      </w:tblPr>
      <w:tblGrid>
        <w:gridCol w:w="1908"/>
        <w:gridCol w:w="916"/>
        <w:gridCol w:w="1302"/>
        <w:gridCol w:w="1358"/>
        <w:gridCol w:w="1413"/>
        <w:gridCol w:w="1401"/>
        <w:gridCol w:w="944"/>
      </w:tblGrid>
      <w:tr w:rsidR="00AE3EB6" w:rsidRPr="00112922" w:rsidTr="00951884">
        <w:tc>
          <w:tcPr>
            <w:tcW w:w="924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34A5" w:rsidRPr="00112922" w:rsidRDefault="00D04D3E" w:rsidP="007D34A5">
            <w:pPr>
              <w:jc w:val="both"/>
              <w:rPr>
                <w:b/>
                <w:lang w:val="fr-FR"/>
              </w:rPr>
            </w:pPr>
            <w:r w:rsidRPr="00511423">
              <w:rPr>
                <w:b/>
                <w:bCs/>
                <w:color w:val="0070C0"/>
                <w:lang w:val="fr-FR"/>
              </w:rPr>
              <w:t>Durée</w:t>
            </w:r>
            <w:r w:rsidRPr="00372AF2">
              <w:rPr>
                <w:b/>
                <w:bCs/>
                <w:lang w:val="fr-FR"/>
              </w:rPr>
              <w:t xml:space="preserve"> : </w:t>
            </w:r>
            <w:r w:rsidRPr="00372AF2">
              <w:rPr>
                <w:lang w:val="fr-FR"/>
              </w:rPr>
              <w:t xml:space="preserve">20 min + 10 min de </w:t>
            </w:r>
            <w:r w:rsidR="00112922">
              <w:rPr>
                <w:lang w:val="fr-FR"/>
              </w:rPr>
              <w:t>bilan</w:t>
            </w:r>
            <w:r w:rsidRPr="00372AF2">
              <w:rPr>
                <w:b/>
                <w:bCs/>
                <w:lang w:val="fr-FR"/>
              </w:rPr>
              <w:t xml:space="preserve"> </w:t>
            </w:r>
          </w:p>
          <w:p w:rsidR="00511423" w:rsidRPr="00112922" w:rsidRDefault="0093798E" w:rsidP="007D34A5">
            <w:pPr>
              <w:jc w:val="both"/>
              <w:rPr>
                <w:b/>
                <w:color w:val="0070C0"/>
                <w:lang w:val="fr-FR"/>
              </w:rPr>
            </w:pPr>
          </w:p>
          <w:p w:rsidR="00511423" w:rsidRPr="00112922" w:rsidRDefault="00D04D3E" w:rsidP="007D34A5">
            <w:pPr>
              <w:jc w:val="both"/>
              <w:rPr>
                <w:b/>
                <w:color w:val="0070C0"/>
                <w:lang w:val="fr-FR"/>
              </w:rPr>
            </w:pPr>
            <w:r w:rsidRPr="00511423">
              <w:rPr>
                <w:b/>
                <w:bCs/>
                <w:color w:val="0070C0"/>
                <w:lang w:val="fr-FR"/>
              </w:rPr>
              <w:t>Objectifs d'apprentissage</w:t>
            </w:r>
          </w:p>
          <w:p w:rsidR="00511423" w:rsidRPr="00112922" w:rsidRDefault="00D04D3E" w:rsidP="00511423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fr-FR"/>
              </w:rPr>
            </w:pPr>
            <w:r w:rsidRPr="00511423">
              <w:rPr>
                <w:lang w:val="fr-FR"/>
              </w:rPr>
              <w:t xml:space="preserve">Classer les risques en fonction des différents scénarios possibles dans le contexte d'une flambée de </w:t>
            </w:r>
            <w:r w:rsidR="00112922">
              <w:rPr>
                <w:lang w:val="fr-FR"/>
              </w:rPr>
              <w:t>MVE</w:t>
            </w:r>
            <w:r w:rsidRPr="00511423">
              <w:rPr>
                <w:lang w:val="fr-FR"/>
              </w:rPr>
              <w:t>.</w:t>
            </w:r>
          </w:p>
          <w:p w:rsidR="00511423" w:rsidRPr="00112922" w:rsidRDefault="00D04D3E" w:rsidP="00511423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fr-FR"/>
              </w:rPr>
            </w:pPr>
            <w:r w:rsidRPr="00511423">
              <w:rPr>
                <w:lang w:val="fr-FR"/>
              </w:rPr>
              <w:t>Identifier les équipem</w:t>
            </w:r>
            <w:r w:rsidR="00112922">
              <w:rPr>
                <w:lang w:val="fr-FR"/>
              </w:rPr>
              <w:t xml:space="preserve">ents de protection individuelle (EPI) </w:t>
            </w:r>
            <w:r w:rsidRPr="00511423">
              <w:rPr>
                <w:lang w:val="fr-FR"/>
              </w:rPr>
              <w:t>nécessaires pour que les équipes d'intervention rapide assurent une bonne prévention et lutte contre l</w:t>
            </w:r>
            <w:r w:rsidR="00112922">
              <w:rPr>
                <w:lang w:val="fr-FR"/>
              </w:rPr>
              <w:t xml:space="preserve">es </w:t>
            </w:r>
            <w:r w:rsidRPr="00511423">
              <w:rPr>
                <w:lang w:val="fr-FR"/>
              </w:rPr>
              <w:t>infection</w:t>
            </w:r>
            <w:r w:rsidR="00112922">
              <w:rPr>
                <w:lang w:val="fr-FR"/>
              </w:rPr>
              <w:t>s</w:t>
            </w:r>
            <w:r w:rsidRPr="00511423">
              <w:rPr>
                <w:lang w:val="fr-FR"/>
              </w:rPr>
              <w:t xml:space="preserve"> dans différentes situations en fonction du niveau de risque dans le contexte d'une flambée de </w:t>
            </w:r>
            <w:r w:rsidR="00112922">
              <w:rPr>
                <w:lang w:val="fr-FR"/>
              </w:rPr>
              <w:t>MVE</w:t>
            </w:r>
            <w:r w:rsidRPr="00511423">
              <w:rPr>
                <w:lang w:val="fr-FR"/>
              </w:rPr>
              <w:t>.</w:t>
            </w:r>
          </w:p>
          <w:p w:rsidR="00511423" w:rsidRPr="00112922" w:rsidRDefault="0093798E" w:rsidP="007D34A5">
            <w:pPr>
              <w:jc w:val="both"/>
              <w:rPr>
                <w:b/>
                <w:color w:val="0070C0"/>
                <w:lang w:val="fr-FR"/>
              </w:rPr>
            </w:pPr>
          </w:p>
          <w:p w:rsidR="007D34A5" w:rsidRPr="00112922" w:rsidRDefault="00D04D3E" w:rsidP="007D34A5">
            <w:pPr>
              <w:jc w:val="both"/>
              <w:rPr>
                <w:lang w:val="fr-FR"/>
              </w:rPr>
            </w:pPr>
            <w:r w:rsidRPr="00511423">
              <w:rPr>
                <w:b/>
                <w:bCs/>
                <w:color w:val="0070C0"/>
                <w:lang w:val="fr-FR"/>
              </w:rPr>
              <w:t>Instructions pour les participants</w:t>
            </w:r>
            <w:r w:rsidRPr="001B304A">
              <w:rPr>
                <w:b/>
                <w:bCs/>
                <w:lang w:val="fr-FR"/>
              </w:rPr>
              <w:t xml:space="preserve"> : </w:t>
            </w:r>
            <w:r w:rsidRPr="001B304A">
              <w:rPr>
                <w:lang w:val="fr-FR"/>
              </w:rPr>
              <w:t>en fonction des différents scénarios figurant dans la 1</w:t>
            </w:r>
            <w:r w:rsidRPr="001B304A">
              <w:rPr>
                <w:vertAlign w:val="superscript"/>
                <w:lang w:val="fr-FR"/>
              </w:rPr>
              <w:t>e</w:t>
            </w:r>
            <w:r w:rsidRPr="001B304A">
              <w:rPr>
                <w:lang w:val="fr-FR"/>
              </w:rPr>
              <w:t xml:space="preserve"> colonne « Scénario » : </w:t>
            </w:r>
          </w:p>
          <w:p w:rsidR="007D34A5" w:rsidRPr="00112922" w:rsidRDefault="00D04D3E" w:rsidP="007D34A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1) classez le risque (élevé/faible à indiquer dans la colonne « RISQUE ») ;</w:t>
            </w:r>
          </w:p>
          <w:p w:rsidR="007D34A5" w:rsidRPr="00112922" w:rsidRDefault="00D04D3E" w:rsidP="007D34A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2) pour chaque scénario, indiquez les équipements dont les équipes d'intervention rapide ont besoin pour assurer une bonne prévention et lutte contre l</w:t>
            </w:r>
            <w:r w:rsidR="00112922">
              <w:rPr>
                <w:lang w:val="fr-FR"/>
              </w:rPr>
              <w:t xml:space="preserve">es </w:t>
            </w:r>
            <w:r>
              <w:rPr>
                <w:lang w:val="fr-FR"/>
              </w:rPr>
              <w:t>infection</w:t>
            </w:r>
            <w:r w:rsidR="00112922">
              <w:rPr>
                <w:lang w:val="fr-FR"/>
              </w:rPr>
              <w:t>s</w:t>
            </w:r>
            <w:r>
              <w:rPr>
                <w:lang w:val="fr-FR"/>
              </w:rPr>
              <w:t xml:space="preserve"> dans le contexte d'une éventuelle flambée</w:t>
            </w:r>
            <w:r w:rsidR="00F25699">
              <w:rPr>
                <w:rFonts w:hint="eastAsia"/>
                <w:b/>
                <w:bCs/>
                <w:lang w:val="fr-FR" w:eastAsia="zh-CN"/>
              </w:rPr>
              <w:t xml:space="preserve"> </w:t>
            </w:r>
            <w:r>
              <w:rPr>
                <w:lang w:val="fr-FR"/>
              </w:rPr>
              <w:t>de maladie à virus Ebola, en précisant « Oui » ou « Non » dans les colonnes correspondantes. N'hésitez pas à ajouter des précisions selon les besoins.</w:t>
            </w:r>
          </w:p>
          <w:p w:rsidR="007D34A5" w:rsidRPr="00112922" w:rsidRDefault="0093798E" w:rsidP="007D34A5">
            <w:pPr>
              <w:rPr>
                <w:lang w:val="fr-FR" w:eastAsia="zh-CN"/>
              </w:rPr>
            </w:pPr>
          </w:p>
        </w:tc>
      </w:tr>
      <w:tr w:rsidR="00AE3EB6" w:rsidRPr="00112922" w:rsidTr="00951884">
        <w:tc>
          <w:tcPr>
            <w:tcW w:w="9242" w:type="dxa"/>
            <w:gridSpan w:val="7"/>
            <w:tcBorders>
              <w:top w:val="single" w:sz="4" w:space="0" w:color="auto"/>
            </w:tcBorders>
          </w:tcPr>
          <w:p w:rsidR="007D34A5" w:rsidRPr="00112922" w:rsidRDefault="00D04D3E" w:rsidP="00112922">
            <w:pPr>
              <w:jc w:val="both"/>
              <w:rPr>
                <w:b/>
                <w:lang w:val="fr-FR"/>
              </w:rPr>
            </w:pPr>
            <w:r>
              <w:rPr>
                <w:lang w:val="fr-FR"/>
              </w:rPr>
              <w:t xml:space="preserve">LES PROCÉDURES D'HYGIÈNE DES MAINS SONT ESSENTIELLES DANS TOUTES LES SITUATIONS ET </w:t>
            </w:r>
            <w:r w:rsidR="00112922">
              <w:rPr>
                <w:lang w:val="fr-FR"/>
              </w:rPr>
              <w:t>TOUJOURS OBSERVÉES</w:t>
            </w:r>
          </w:p>
        </w:tc>
      </w:tr>
      <w:tr w:rsidR="00AE3EB6" w:rsidTr="00C57F11">
        <w:tc>
          <w:tcPr>
            <w:tcW w:w="1908" w:type="dxa"/>
            <w:shd w:val="clear" w:color="auto" w:fill="0070C0"/>
          </w:tcPr>
          <w:p w:rsidR="007D34A5" w:rsidRPr="00372AF2" w:rsidRDefault="00D04D3E" w:rsidP="007D34A5">
            <w:pPr>
              <w:rPr>
                <w:b/>
                <w:color w:val="FFFFFF" w:themeColor="background1"/>
              </w:rPr>
            </w:pPr>
            <w:r w:rsidRPr="00372AF2">
              <w:rPr>
                <w:b/>
                <w:bCs/>
                <w:color w:val="FFFFFF" w:themeColor="background1"/>
                <w:lang w:val="fr-FR"/>
              </w:rPr>
              <w:t>SCÉNARIO</w:t>
            </w:r>
          </w:p>
        </w:tc>
        <w:tc>
          <w:tcPr>
            <w:tcW w:w="916" w:type="dxa"/>
            <w:shd w:val="clear" w:color="auto" w:fill="0070C0"/>
          </w:tcPr>
          <w:p w:rsidR="007D34A5" w:rsidRPr="00372AF2" w:rsidRDefault="00D04D3E" w:rsidP="007D34A5">
            <w:pPr>
              <w:rPr>
                <w:b/>
                <w:color w:val="FFFFFF" w:themeColor="background1"/>
              </w:rPr>
            </w:pPr>
            <w:r w:rsidRPr="00372AF2">
              <w:rPr>
                <w:b/>
                <w:bCs/>
                <w:color w:val="FFFFFF" w:themeColor="background1"/>
                <w:lang w:val="fr-FR"/>
              </w:rPr>
              <w:t>RISQUE</w:t>
            </w:r>
          </w:p>
        </w:tc>
        <w:tc>
          <w:tcPr>
            <w:tcW w:w="1302" w:type="dxa"/>
            <w:shd w:val="clear" w:color="auto" w:fill="0070C0"/>
          </w:tcPr>
          <w:p w:rsidR="007D34A5" w:rsidRPr="00372AF2" w:rsidRDefault="00D04D3E" w:rsidP="007D34A5">
            <w:pPr>
              <w:rPr>
                <w:b/>
                <w:color w:val="FFFFFF" w:themeColor="background1"/>
              </w:rPr>
            </w:pPr>
            <w:r w:rsidRPr="00372AF2">
              <w:rPr>
                <w:b/>
                <w:bCs/>
                <w:color w:val="FFFFFF" w:themeColor="background1"/>
                <w:lang w:val="fr-FR"/>
              </w:rPr>
              <w:t>GANTS</w:t>
            </w:r>
          </w:p>
        </w:tc>
        <w:tc>
          <w:tcPr>
            <w:tcW w:w="1358" w:type="dxa"/>
            <w:shd w:val="clear" w:color="auto" w:fill="0070C0"/>
          </w:tcPr>
          <w:p w:rsidR="007D34A5" w:rsidRPr="00372AF2" w:rsidRDefault="00D04D3E" w:rsidP="007D34A5">
            <w:pPr>
              <w:rPr>
                <w:b/>
                <w:color w:val="FFFFFF" w:themeColor="background1"/>
              </w:rPr>
            </w:pPr>
            <w:r w:rsidRPr="00372AF2">
              <w:rPr>
                <w:b/>
                <w:bCs/>
                <w:color w:val="FFFFFF" w:themeColor="background1"/>
                <w:lang w:val="fr-FR"/>
              </w:rPr>
              <w:t>TABLIERS</w:t>
            </w:r>
          </w:p>
        </w:tc>
        <w:tc>
          <w:tcPr>
            <w:tcW w:w="1413" w:type="dxa"/>
            <w:shd w:val="clear" w:color="auto" w:fill="0070C0"/>
          </w:tcPr>
          <w:p w:rsidR="007D34A5" w:rsidRPr="00372AF2" w:rsidRDefault="00D04D3E" w:rsidP="007D34A5">
            <w:pPr>
              <w:rPr>
                <w:b/>
                <w:color w:val="FFFFFF" w:themeColor="background1"/>
              </w:rPr>
            </w:pPr>
            <w:r w:rsidRPr="00372AF2">
              <w:rPr>
                <w:b/>
                <w:bCs/>
                <w:color w:val="FFFFFF" w:themeColor="background1"/>
                <w:lang w:val="fr-FR"/>
              </w:rPr>
              <w:t>PROTECTION FACIALE</w:t>
            </w:r>
          </w:p>
        </w:tc>
        <w:tc>
          <w:tcPr>
            <w:tcW w:w="1401" w:type="dxa"/>
            <w:shd w:val="clear" w:color="auto" w:fill="0070C0"/>
          </w:tcPr>
          <w:p w:rsidR="007D34A5" w:rsidRPr="00372AF2" w:rsidRDefault="00D04D3E" w:rsidP="007D34A5">
            <w:pPr>
              <w:rPr>
                <w:b/>
                <w:color w:val="FFFFFF" w:themeColor="background1"/>
              </w:rPr>
            </w:pPr>
            <w:r w:rsidRPr="00372AF2">
              <w:rPr>
                <w:b/>
                <w:bCs/>
                <w:color w:val="FFFFFF" w:themeColor="background1"/>
                <w:lang w:val="fr-FR"/>
              </w:rPr>
              <w:t>BLOUSE/</w:t>
            </w:r>
            <w:r w:rsidR="00951884">
              <w:rPr>
                <w:rFonts w:hint="eastAsia"/>
                <w:b/>
                <w:bCs/>
                <w:color w:val="FFFFFF" w:themeColor="background1"/>
                <w:lang w:val="fr-FR" w:eastAsia="zh-CN"/>
              </w:rPr>
              <w:br/>
            </w:r>
            <w:r w:rsidRPr="00372AF2">
              <w:rPr>
                <w:b/>
                <w:bCs/>
                <w:color w:val="FFFFFF" w:themeColor="background1"/>
                <w:lang w:val="fr-FR"/>
              </w:rPr>
              <w:t>combinaison</w:t>
            </w:r>
          </w:p>
        </w:tc>
        <w:tc>
          <w:tcPr>
            <w:tcW w:w="944" w:type="dxa"/>
            <w:shd w:val="clear" w:color="auto" w:fill="0070C0"/>
          </w:tcPr>
          <w:p w:rsidR="007D34A5" w:rsidRPr="00372AF2" w:rsidRDefault="00D04D3E" w:rsidP="007D34A5">
            <w:pPr>
              <w:rPr>
                <w:b/>
                <w:color w:val="FFFFFF" w:themeColor="background1"/>
              </w:rPr>
            </w:pPr>
            <w:r w:rsidRPr="00372AF2">
              <w:rPr>
                <w:b/>
                <w:bCs/>
                <w:color w:val="FFFFFF" w:themeColor="background1"/>
                <w:lang w:val="fr-FR"/>
              </w:rPr>
              <w:t>BOTTES</w:t>
            </w:r>
          </w:p>
        </w:tc>
      </w:tr>
      <w:tr w:rsidR="00AE3EB6" w:rsidTr="00C57F11">
        <w:tc>
          <w:tcPr>
            <w:tcW w:w="1908" w:type="dxa"/>
          </w:tcPr>
          <w:p w:rsidR="007D34A5" w:rsidRPr="00112922" w:rsidRDefault="0093798E" w:rsidP="007D34A5">
            <w:pPr>
              <w:rPr>
                <w:b/>
                <w:lang w:val="fr-FR"/>
              </w:rPr>
            </w:pPr>
            <w:r>
              <w:rPr>
                <w:b/>
                <w:bCs/>
                <w:lang w:val="fr-FR"/>
              </w:rPr>
              <w:t>Zone</w:t>
            </w:r>
            <w:r w:rsidR="00D04D3E" w:rsidRPr="00372AF2">
              <w:rPr>
                <w:b/>
                <w:bCs/>
                <w:lang w:val="fr-FR"/>
              </w:rPr>
              <w:t xml:space="preserve"> d'entrée de l'aéroport : prise de température</w:t>
            </w:r>
          </w:p>
        </w:tc>
        <w:tc>
          <w:tcPr>
            <w:tcW w:w="916" w:type="dxa"/>
          </w:tcPr>
          <w:p w:rsidR="007D34A5" w:rsidRDefault="00D04D3E" w:rsidP="007D34A5">
            <w:r>
              <w:rPr>
                <w:lang w:val="fr-FR"/>
              </w:rPr>
              <w:t xml:space="preserve">Faible </w:t>
            </w:r>
          </w:p>
        </w:tc>
        <w:tc>
          <w:tcPr>
            <w:tcW w:w="1302" w:type="dxa"/>
          </w:tcPr>
          <w:p w:rsidR="007D34A5" w:rsidRDefault="00D04D3E" w:rsidP="007D34A5">
            <w:r>
              <w:rPr>
                <w:lang w:val="fr-FR"/>
              </w:rPr>
              <w:t>Oui</w:t>
            </w:r>
          </w:p>
          <w:p w:rsidR="007D34A5" w:rsidRDefault="0093798E" w:rsidP="007D34A5"/>
        </w:tc>
        <w:tc>
          <w:tcPr>
            <w:tcW w:w="1358" w:type="dxa"/>
          </w:tcPr>
          <w:p w:rsidR="007D34A5" w:rsidRDefault="00D04D3E" w:rsidP="007D34A5">
            <w:r>
              <w:rPr>
                <w:lang w:val="fr-FR"/>
              </w:rPr>
              <w:t>Oui</w:t>
            </w:r>
          </w:p>
        </w:tc>
        <w:tc>
          <w:tcPr>
            <w:tcW w:w="1413" w:type="dxa"/>
          </w:tcPr>
          <w:p w:rsidR="007D34A5" w:rsidRDefault="00D04D3E" w:rsidP="007D34A5">
            <w:r>
              <w:rPr>
                <w:lang w:val="fr-FR"/>
              </w:rPr>
              <w:t>Non</w:t>
            </w:r>
          </w:p>
        </w:tc>
        <w:tc>
          <w:tcPr>
            <w:tcW w:w="1401" w:type="dxa"/>
          </w:tcPr>
          <w:p w:rsidR="007D34A5" w:rsidRDefault="00D04D3E" w:rsidP="007D34A5">
            <w:r>
              <w:rPr>
                <w:lang w:val="fr-FR"/>
              </w:rPr>
              <w:t>Possible</w:t>
            </w:r>
          </w:p>
        </w:tc>
        <w:tc>
          <w:tcPr>
            <w:tcW w:w="944" w:type="dxa"/>
          </w:tcPr>
          <w:p w:rsidR="007D34A5" w:rsidRDefault="00D04D3E" w:rsidP="007D34A5">
            <w:r>
              <w:rPr>
                <w:lang w:val="fr-FR"/>
              </w:rPr>
              <w:t>Non</w:t>
            </w:r>
          </w:p>
        </w:tc>
      </w:tr>
      <w:tr w:rsidR="00AE3EB6" w:rsidTr="00C57F11">
        <w:tc>
          <w:tcPr>
            <w:tcW w:w="1908" w:type="dxa"/>
          </w:tcPr>
          <w:p w:rsidR="007D34A5" w:rsidRPr="00372AF2" w:rsidRDefault="0093798E" w:rsidP="007D34A5">
            <w:pPr>
              <w:rPr>
                <w:b/>
                <w:lang w:eastAsia="zh-CN"/>
              </w:rPr>
            </w:pPr>
            <w:r>
              <w:rPr>
                <w:b/>
                <w:bCs/>
                <w:lang w:val="fr-FR"/>
              </w:rPr>
              <w:t>Porteur sans symptôme</w:t>
            </w:r>
          </w:p>
        </w:tc>
        <w:tc>
          <w:tcPr>
            <w:tcW w:w="916" w:type="dxa"/>
          </w:tcPr>
          <w:p w:rsidR="007D34A5" w:rsidRDefault="00D04D3E" w:rsidP="007D34A5">
            <w:r>
              <w:rPr>
                <w:lang w:val="fr-FR"/>
              </w:rPr>
              <w:t xml:space="preserve">Faible </w:t>
            </w:r>
          </w:p>
        </w:tc>
        <w:tc>
          <w:tcPr>
            <w:tcW w:w="1302" w:type="dxa"/>
          </w:tcPr>
          <w:p w:rsidR="007D34A5" w:rsidRDefault="00D04D3E" w:rsidP="007D34A5">
            <w:r>
              <w:rPr>
                <w:lang w:val="fr-FR"/>
              </w:rPr>
              <w:t>Oui</w:t>
            </w:r>
          </w:p>
        </w:tc>
        <w:tc>
          <w:tcPr>
            <w:tcW w:w="1358" w:type="dxa"/>
          </w:tcPr>
          <w:p w:rsidR="007D34A5" w:rsidRDefault="00D04D3E" w:rsidP="007D34A5">
            <w:r>
              <w:rPr>
                <w:lang w:val="fr-FR"/>
              </w:rPr>
              <w:t xml:space="preserve">Oui </w:t>
            </w:r>
          </w:p>
        </w:tc>
        <w:tc>
          <w:tcPr>
            <w:tcW w:w="1413" w:type="dxa"/>
          </w:tcPr>
          <w:p w:rsidR="007D34A5" w:rsidRDefault="00D04D3E" w:rsidP="007D34A5">
            <w:r>
              <w:rPr>
                <w:lang w:val="fr-FR"/>
              </w:rPr>
              <w:t>Non</w:t>
            </w:r>
          </w:p>
        </w:tc>
        <w:tc>
          <w:tcPr>
            <w:tcW w:w="1401" w:type="dxa"/>
          </w:tcPr>
          <w:p w:rsidR="007D34A5" w:rsidRDefault="00D04D3E" w:rsidP="007D34A5">
            <w:r>
              <w:rPr>
                <w:lang w:val="fr-FR"/>
              </w:rPr>
              <w:t>Possible</w:t>
            </w:r>
          </w:p>
        </w:tc>
        <w:tc>
          <w:tcPr>
            <w:tcW w:w="944" w:type="dxa"/>
          </w:tcPr>
          <w:p w:rsidR="007D34A5" w:rsidRDefault="00D04D3E" w:rsidP="007D34A5">
            <w:r>
              <w:rPr>
                <w:lang w:val="fr-FR"/>
              </w:rPr>
              <w:t>Non</w:t>
            </w:r>
          </w:p>
        </w:tc>
      </w:tr>
      <w:tr w:rsidR="00AE3EB6" w:rsidTr="00C57F11">
        <w:tc>
          <w:tcPr>
            <w:tcW w:w="1908" w:type="dxa"/>
          </w:tcPr>
          <w:p w:rsidR="007D34A5" w:rsidRPr="00112922" w:rsidRDefault="00D04D3E" w:rsidP="0093798E">
            <w:pPr>
              <w:rPr>
                <w:b/>
                <w:lang w:val="fr-FR"/>
              </w:rPr>
            </w:pPr>
            <w:r w:rsidRPr="00372AF2">
              <w:rPr>
                <w:b/>
                <w:bCs/>
                <w:lang w:val="fr-FR"/>
              </w:rPr>
              <w:t>Recherche de contacts/</w:t>
            </w:r>
            <w:r w:rsidR="0093798E">
              <w:rPr>
                <w:b/>
                <w:bCs/>
                <w:lang w:val="fr-FR"/>
              </w:rPr>
              <w:t>entretiens avec</w:t>
            </w:r>
            <w:r w:rsidRPr="00372AF2">
              <w:rPr>
                <w:b/>
                <w:bCs/>
                <w:lang w:val="fr-FR"/>
              </w:rPr>
              <w:t xml:space="preserve"> des contacts</w:t>
            </w:r>
          </w:p>
        </w:tc>
        <w:tc>
          <w:tcPr>
            <w:tcW w:w="916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Faible</w:t>
            </w:r>
          </w:p>
        </w:tc>
        <w:tc>
          <w:tcPr>
            <w:tcW w:w="1302" w:type="dxa"/>
          </w:tcPr>
          <w:p w:rsidR="007D34A5" w:rsidRPr="00372AF2" w:rsidRDefault="0093798E" w:rsidP="007D34A5"/>
        </w:tc>
        <w:tc>
          <w:tcPr>
            <w:tcW w:w="1358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Non</w:t>
            </w:r>
          </w:p>
        </w:tc>
        <w:tc>
          <w:tcPr>
            <w:tcW w:w="1413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Non</w:t>
            </w:r>
          </w:p>
        </w:tc>
        <w:tc>
          <w:tcPr>
            <w:tcW w:w="1401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Non</w:t>
            </w:r>
          </w:p>
        </w:tc>
        <w:tc>
          <w:tcPr>
            <w:tcW w:w="944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Non</w:t>
            </w:r>
          </w:p>
        </w:tc>
      </w:tr>
      <w:tr w:rsidR="00AE3EB6" w:rsidTr="00C57F11">
        <w:tc>
          <w:tcPr>
            <w:tcW w:w="1908" w:type="dxa"/>
          </w:tcPr>
          <w:p w:rsidR="007D34A5" w:rsidRPr="00112922" w:rsidRDefault="00D04D3E" w:rsidP="007D34A5">
            <w:pPr>
              <w:rPr>
                <w:b/>
                <w:lang w:val="fr-FR"/>
              </w:rPr>
            </w:pPr>
            <w:r w:rsidRPr="00372AF2">
              <w:rPr>
                <w:b/>
                <w:bCs/>
                <w:lang w:val="fr-FR"/>
              </w:rPr>
              <w:t>Personne malade qui correspond à 2 points de la définition de cas</w:t>
            </w:r>
          </w:p>
        </w:tc>
        <w:tc>
          <w:tcPr>
            <w:tcW w:w="916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Élevé</w:t>
            </w:r>
          </w:p>
        </w:tc>
        <w:tc>
          <w:tcPr>
            <w:tcW w:w="1302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 xml:space="preserve">Doubles ; </w:t>
            </w:r>
          </w:p>
          <w:p w:rsidR="007D34A5" w:rsidRPr="00372AF2" w:rsidRDefault="00D04D3E" w:rsidP="007D34A5">
            <w:r w:rsidRPr="00372AF2">
              <w:rPr>
                <w:lang w:val="fr-FR"/>
              </w:rPr>
              <w:t>jetables</w:t>
            </w:r>
          </w:p>
        </w:tc>
        <w:tc>
          <w:tcPr>
            <w:tcW w:w="1358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Oui</w:t>
            </w:r>
          </w:p>
        </w:tc>
        <w:tc>
          <w:tcPr>
            <w:tcW w:w="1413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Oui plus écran</w:t>
            </w:r>
          </w:p>
        </w:tc>
        <w:tc>
          <w:tcPr>
            <w:tcW w:w="1401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OUI</w:t>
            </w:r>
          </w:p>
        </w:tc>
        <w:tc>
          <w:tcPr>
            <w:tcW w:w="944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Oui</w:t>
            </w:r>
          </w:p>
        </w:tc>
      </w:tr>
      <w:tr w:rsidR="00AE3EB6" w:rsidTr="00C57F11">
        <w:tc>
          <w:tcPr>
            <w:tcW w:w="1908" w:type="dxa"/>
          </w:tcPr>
          <w:p w:rsidR="007D34A5" w:rsidRPr="00112922" w:rsidRDefault="00D04D3E" w:rsidP="0093798E">
            <w:pPr>
              <w:rPr>
                <w:b/>
                <w:lang w:val="fr-FR"/>
              </w:rPr>
            </w:pPr>
            <w:r w:rsidRPr="00372AF2">
              <w:rPr>
                <w:b/>
                <w:bCs/>
                <w:lang w:val="fr-FR"/>
              </w:rPr>
              <w:t xml:space="preserve">Prise en charge d'un cas de </w:t>
            </w:r>
            <w:r w:rsidR="00112922">
              <w:rPr>
                <w:b/>
                <w:bCs/>
                <w:lang w:val="fr-FR"/>
              </w:rPr>
              <w:t>MVE</w:t>
            </w:r>
            <w:r w:rsidRPr="00372AF2">
              <w:rPr>
                <w:b/>
                <w:bCs/>
                <w:lang w:val="fr-FR"/>
              </w:rPr>
              <w:t xml:space="preserve"> </w:t>
            </w:r>
            <w:r w:rsidR="0093798E">
              <w:rPr>
                <w:b/>
                <w:bCs/>
                <w:lang w:val="fr-FR"/>
              </w:rPr>
              <w:t>majeur</w:t>
            </w:r>
            <w:bookmarkStart w:id="0" w:name="_GoBack"/>
            <w:bookmarkEnd w:id="0"/>
          </w:p>
        </w:tc>
        <w:tc>
          <w:tcPr>
            <w:tcW w:w="916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ÉLEVÉ</w:t>
            </w:r>
          </w:p>
        </w:tc>
        <w:tc>
          <w:tcPr>
            <w:tcW w:w="1302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Doubles, jetables</w:t>
            </w:r>
          </w:p>
        </w:tc>
        <w:tc>
          <w:tcPr>
            <w:tcW w:w="1358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Oui ; jetables</w:t>
            </w:r>
          </w:p>
        </w:tc>
        <w:tc>
          <w:tcPr>
            <w:tcW w:w="1413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Oui plus écran</w:t>
            </w:r>
          </w:p>
        </w:tc>
        <w:tc>
          <w:tcPr>
            <w:tcW w:w="1401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OUI</w:t>
            </w:r>
          </w:p>
        </w:tc>
        <w:tc>
          <w:tcPr>
            <w:tcW w:w="944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OUI</w:t>
            </w:r>
          </w:p>
        </w:tc>
      </w:tr>
      <w:tr w:rsidR="00AE3EB6" w:rsidTr="00C57F11">
        <w:tc>
          <w:tcPr>
            <w:tcW w:w="1908" w:type="dxa"/>
          </w:tcPr>
          <w:p w:rsidR="007D34A5" w:rsidRPr="00112922" w:rsidRDefault="00D04D3E" w:rsidP="00112922">
            <w:pPr>
              <w:rPr>
                <w:b/>
                <w:lang w:val="fr-FR"/>
              </w:rPr>
            </w:pPr>
            <w:r w:rsidRPr="00372AF2">
              <w:rPr>
                <w:b/>
                <w:bCs/>
                <w:lang w:val="fr-FR"/>
              </w:rPr>
              <w:t xml:space="preserve">Transport d'un cas de </w:t>
            </w:r>
            <w:r w:rsidR="00112922">
              <w:rPr>
                <w:b/>
                <w:bCs/>
                <w:lang w:val="fr-FR"/>
              </w:rPr>
              <w:t>MVE</w:t>
            </w:r>
          </w:p>
        </w:tc>
        <w:tc>
          <w:tcPr>
            <w:tcW w:w="916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ÉLEVÉ</w:t>
            </w:r>
          </w:p>
        </w:tc>
        <w:tc>
          <w:tcPr>
            <w:tcW w:w="1302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Doubles, jetables</w:t>
            </w:r>
          </w:p>
        </w:tc>
        <w:tc>
          <w:tcPr>
            <w:tcW w:w="1358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Oui</w:t>
            </w:r>
          </w:p>
        </w:tc>
        <w:tc>
          <w:tcPr>
            <w:tcW w:w="1413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Oui plus écran</w:t>
            </w:r>
          </w:p>
        </w:tc>
        <w:tc>
          <w:tcPr>
            <w:tcW w:w="1401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OUI</w:t>
            </w:r>
          </w:p>
        </w:tc>
        <w:tc>
          <w:tcPr>
            <w:tcW w:w="944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Oui</w:t>
            </w:r>
          </w:p>
        </w:tc>
      </w:tr>
      <w:tr w:rsidR="00AE3EB6" w:rsidTr="00C57F11">
        <w:tc>
          <w:tcPr>
            <w:tcW w:w="1908" w:type="dxa"/>
          </w:tcPr>
          <w:p w:rsidR="007D34A5" w:rsidRPr="00372AF2" w:rsidRDefault="00D04D3E" w:rsidP="007D34A5">
            <w:pPr>
              <w:rPr>
                <w:b/>
              </w:rPr>
            </w:pPr>
            <w:r w:rsidRPr="00372AF2">
              <w:rPr>
                <w:b/>
                <w:bCs/>
                <w:lang w:val="fr-FR"/>
              </w:rPr>
              <w:t>INHUMATION</w:t>
            </w:r>
          </w:p>
          <w:p w:rsidR="007D34A5" w:rsidRPr="00372AF2" w:rsidRDefault="0093798E" w:rsidP="007D34A5">
            <w:pPr>
              <w:rPr>
                <w:b/>
              </w:rPr>
            </w:pPr>
          </w:p>
        </w:tc>
        <w:tc>
          <w:tcPr>
            <w:tcW w:w="916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ÉLEVÉ</w:t>
            </w:r>
          </w:p>
        </w:tc>
        <w:tc>
          <w:tcPr>
            <w:tcW w:w="1302" w:type="dxa"/>
          </w:tcPr>
          <w:p w:rsidR="007D34A5" w:rsidRPr="00112922" w:rsidRDefault="00D04D3E" w:rsidP="007D34A5">
            <w:pPr>
              <w:rPr>
                <w:lang w:val="fr-FR"/>
              </w:rPr>
            </w:pPr>
            <w:r w:rsidRPr="00372AF2">
              <w:rPr>
                <w:lang w:val="fr-FR"/>
              </w:rPr>
              <w:t>Doubles ; gants à usage domestique</w:t>
            </w:r>
          </w:p>
        </w:tc>
        <w:tc>
          <w:tcPr>
            <w:tcW w:w="1358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Oui ; réutilisables</w:t>
            </w:r>
          </w:p>
        </w:tc>
        <w:tc>
          <w:tcPr>
            <w:tcW w:w="1413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Oui plus écran</w:t>
            </w:r>
          </w:p>
        </w:tc>
        <w:tc>
          <w:tcPr>
            <w:tcW w:w="1401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OUI</w:t>
            </w:r>
          </w:p>
        </w:tc>
        <w:tc>
          <w:tcPr>
            <w:tcW w:w="944" w:type="dxa"/>
          </w:tcPr>
          <w:p w:rsidR="007D34A5" w:rsidRPr="00372AF2" w:rsidRDefault="00D04D3E" w:rsidP="007D34A5">
            <w:r w:rsidRPr="00372AF2">
              <w:rPr>
                <w:lang w:val="fr-FR"/>
              </w:rPr>
              <w:t>Oui</w:t>
            </w:r>
          </w:p>
        </w:tc>
      </w:tr>
    </w:tbl>
    <w:p w:rsidR="00026551" w:rsidRPr="00D04D3E" w:rsidRDefault="0093798E" w:rsidP="00D04D3E">
      <w:pPr>
        <w:spacing w:after="0"/>
        <w:rPr>
          <w:sz w:val="4"/>
          <w:szCs w:val="4"/>
          <w:lang w:eastAsia="zh-CN"/>
        </w:rPr>
      </w:pPr>
    </w:p>
    <w:sectPr w:rsidR="00026551" w:rsidRPr="00D04D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D44B5"/>
    <w:multiLevelType w:val="hybridMultilevel"/>
    <w:tmpl w:val="4334AEB0"/>
    <w:lvl w:ilvl="0" w:tplc="6194E9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EC60A8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34E8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E5B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60CE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061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5C4E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D8E6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C4DD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B6"/>
    <w:rsid w:val="00112922"/>
    <w:rsid w:val="0093798E"/>
    <w:rsid w:val="00951884"/>
    <w:rsid w:val="0099270B"/>
    <w:rsid w:val="00AE3EB6"/>
    <w:rsid w:val="00C57F11"/>
    <w:rsid w:val="00D04D3E"/>
    <w:rsid w:val="00F2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1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918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18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18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18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18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1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8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14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1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918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18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18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18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18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1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8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14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Shaheen Mehtar</dc:creator>
  <cp:lastModifiedBy>GOMEZ, Paula</cp:lastModifiedBy>
  <cp:revision>3</cp:revision>
  <dcterms:created xsi:type="dcterms:W3CDTF">2015-11-04T10:53:00Z</dcterms:created>
  <dcterms:modified xsi:type="dcterms:W3CDTF">2015-11-12T11:46:00Z</dcterms:modified>
</cp:coreProperties>
</file>